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6B" w:rsidRPr="00143A6B" w:rsidRDefault="00143A6B" w:rsidP="00143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</w:pPr>
      <w:r w:rsidRPr="00143A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  <w:t>Ф Н П Р</w:t>
      </w:r>
    </w:p>
    <w:p w:rsidR="00143A6B" w:rsidRPr="00143A6B" w:rsidRDefault="00143A6B" w:rsidP="00143A6B">
      <w:pPr>
        <w:keepNext/>
        <w:widowControl w:val="0"/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143A6B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СОЮЗ «ФЕДЕРАЦИЯ ОРГАНИЗАЦИЙ ПРОФСОЮЗОВ </w:t>
      </w:r>
    </w:p>
    <w:p w:rsidR="00143A6B" w:rsidRPr="00143A6B" w:rsidRDefault="00143A6B" w:rsidP="00143A6B">
      <w:pPr>
        <w:keepNext/>
        <w:widowControl w:val="0"/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143A6B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КУРСКОЙ ОБЛАСТИ» </w:t>
      </w:r>
    </w:p>
    <w:p w:rsidR="00143A6B" w:rsidRPr="00143A6B" w:rsidRDefault="00143A6B" w:rsidP="00143A6B">
      <w:pPr>
        <w:keepNext/>
        <w:widowControl w:val="0"/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143A6B">
        <w:rPr>
          <w:rFonts w:ascii="Times New Roman" w:eastAsia="Times New Roman" w:hAnsi="Times New Roman" w:cs="Times New Roman"/>
          <w:b/>
          <w:sz w:val="30"/>
          <w:szCs w:val="30"/>
        </w:rPr>
        <w:t>СОВЕТ</w:t>
      </w:r>
    </w:p>
    <w:p w:rsidR="00143A6B" w:rsidRPr="00143A6B" w:rsidRDefault="00143A6B" w:rsidP="00143A6B">
      <w:pPr>
        <w:keepNext/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143A6B">
        <w:rPr>
          <w:rFonts w:ascii="Times New Roman" w:eastAsia="Times New Roman" w:hAnsi="Times New Roman" w:cs="Times New Roman"/>
          <w:b/>
          <w:sz w:val="30"/>
          <w:szCs w:val="30"/>
          <w:lang w:val="x-none"/>
        </w:rPr>
        <w:t>ПОСТАНОВЛЕНИЕ</w:t>
      </w:r>
    </w:p>
    <w:p w:rsidR="00143A6B" w:rsidRPr="00143A6B" w:rsidRDefault="00143A6B" w:rsidP="00143A6B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/>
        </w:rPr>
      </w:pPr>
      <w:r w:rsidRPr="00143A6B">
        <w:rPr>
          <w:rFonts w:ascii="Times New Roman" w:eastAsia="SimSun" w:hAnsi="Times New Roman" w:cs="Mangal"/>
          <w:kern w:val="1"/>
          <w:sz w:val="24"/>
          <w:szCs w:val="24"/>
          <w:lang w:eastAsia="hi-IN"/>
        </w:rPr>
        <w:t>г. Курск</w:t>
      </w:r>
    </w:p>
    <w:p w:rsidR="00143A6B" w:rsidRPr="00143A6B" w:rsidRDefault="00143A6B" w:rsidP="00143A6B">
      <w:pPr>
        <w:widowControl w:val="0"/>
        <w:suppressAutoHyphens/>
        <w:autoSpaceDE w:val="0"/>
        <w:spacing w:after="0" w:line="360" w:lineRule="auto"/>
        <w:ind w:left="-284" w:right="-284"/>
        <w:jc w:val="center"/>
        <w:rPr>
          <w:rFonts w:ascii="Arial CYR" w:eastAsia="Arial CYR" w:hAnsi="Arial CYR" w:cs="Arial CYR"/>
          <w:i/>
          <w:iCs/>
          <w:kern w:val="1"/>
          <w:sz w:val="16"/>
          <w:szCs w:val="26"/>
          <w:lang w:eastAsia="hi-IN" w:bidi="hi-IN"/>
        </w:rPr>
      </w:pPr>
    </w:p>
    <w:p w:rsidR="00143A6B" w:rsidRPr="00143A6B" w:rsidRDefault="00143A6B" w:rsidP="00143A6B">
      <w:pPr>
        <w:widowControl w:val="0"/>
        <w:suppressAutoHyphens/>
        <w:autoSpaceDE w:val="0"/>
        <w:spacing w:after="0" w:line="240" w:lineRule="auto"/>
        <w:ind w:right="-284" w:firstLineChars="150" w:firstLine="390"/>
        <w:jc w:val="both"/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</w:pPr>
      <w:r w:rsidRPr="00143A6B">
        <w:rPr>
          <w:rFonts w:ascii="Times New Roman" w:eastAsia="Times New Roman" w:hAnsi="Times New Roman" w:cs="Times New Roman"/>
          <w:i/>
          <w:iCs/>
          <w:kern w:val="1"/>
          <w:sz w:val="26"/>
          <w:szCs w:val="26"/>
          <w:lang w:eastAsia="hi-IN" w:bidi="hi-IN"/>
        </w:rPr>
        <w:t>«26» марта</w:t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 xml:space="preserve"> 2026г. </w:t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143A6B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  <w:t xml:space="preserve">                    № 2</w:t>
      </w:r>
    </w:p>
    <w:p w:rsidR="009C67E1" w:rsidRDefault="009C67E1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42"/>
        <w:gridCol w:w="1885"/>
      </w:tblGrid>
      <w:tr w:rsidR="009C67E1" w:rsidRPr="00384F87">
        <w:tc>
          <w:tcPr>
            <w:tcW w:w="7142" w:type="dxa"/>
          </w:tcPr>
          <w:p w:rsidR="009C67E1" w:rsidRPr="00384F87" w:rsidRDefault="008C5722" w:rsidP="00983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F87">
              <w:rPr>
                <w:rFonts w:ascii="Times New Roman" w:hAnsi="Times New Roman" w:cs="Times New Roman"/>
                <w:b/>
                <w:sz w:val="28"/>
                <w:szCs w:val="28"/>
              </w:rPr>
              <w:t>О Концепции молодежной политики Союза «Федерация организаций профсоюзов Курской области»</w:t>
            </w:r>
          </w:p>
        </w:tc>
        <w:tc>
          <w:tcPr>
            <w:tcW w:w="1885" w:type="dxa"/>
          </w:tcPr>
          <w:p w:rsidR="009C67E1" w:rsidRPr="00384F87" w:rsidRDefault="009C67E1" w:rsidP="00983827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7E1" w:rsidRPr="00384F87" w:rsidRDefault="009C67E1" w:rsidP="00384F87">
      <w:pPr>
        <w:spacing w:after="0" w:line="240" w:lineRule="auto"/>
        <w:ind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C67E1" w:rsidRPr="00384F87" w:rsidRDefault="008C5722" w:rsidP="00384F87">
      <w:pPr>
        <w:spacing w:after="0" w:line="240" w:lineRule="auto"/>
        <w:ind w:firstLineChars="300" w:firstLine="8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384F87">
        <w:rPr>
          <w:rFonts w:ascii="Times New Roman" w:eastAsia="SimSun" w:hAnsi="Times New Roman" w:cs="Times New Roman"/>
          <w:sz w:val="28"/>
          <w:szCs w:val="28"/>
        </w:rPr>
        <w:t xml:space="preserve">С целью реализации единой молодежной политики ФНПР и ее членских организаций Генеральным Советом утверждена Концепция молодёжной политики ФНПР </w:t>
      </w:r>
      <w:proofErr w:type="gramStart"/>
      <w:r w:rsidRPr="00384F87">
        <w:rPr>
          <w:rFonts w:ascii="Times New Roman" w:eastAsia="SimSun" w:hAnsi="Times New Roman" w:cs="Times New Roman"/>
          <w:sz w:val="28"/>
          <w:szCs w:val="28"/>
        </w:rPr>
        <w:t>согласно постановления</w:t>
      </w:r>
      <w:proofErr w:type="gramEnd"/>
      <w:r w:rsidRPr="00384F87">
        <w:rPr>
          <w:rFonts w:ascii="Times New Roman" w:eastAsia="SimSun" w:hAnsi="Times New Roman" w:cs="Times New Roman"/>
          <w:sz w:val="28"/>
          <w:szCs w:val="28"/>
        </w:rPr>
        <w:t xml:space="preserve"> от 14.04.2021г № 9-11 (далее - Концепция ФНПР). </w:t>
      </w:r>
      <w:proofErr w:type="gramStart"/>
      <w:r w:rsidRPr="00384F87">
        <w:rPr>
          <w:rFonts w:ascii="Times New Roman" w:eastAsia="SimSun" w:hAnsi="Times New Roman" w:cs="Times New Roman"/>
          <w:sz w:val="28"/>
          <w:szCs w:val="28"/>
        </w:rPr>
        <w:t>В связи с тем, что п</w:t>
      </w:r>
      <w:r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>рофсоюзы являются  субъектом молодежной политики государства, положения</w:t>
      </w:r>
      <w:r w:rsidRPr="00384F8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4F8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Концепции ФНПР направлены на</w:t>
      </w:r>
      <w:r w:rsidRPr="00384F8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 решение ключевых задач государственной молодёжной политики: </w:t>
      </w:r>
      <w:r w:rsidRPr="00384F8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обеспечение равных условий для духовного, культурного, интеллектуального, психического, профессионального, физического развития и самореализации молодёжи;</w:t>
      </w:r>
      <w:proofErr w:type="gramEnd"/>
      <w:r w:rsidRPr="00384F8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создание условий для участия молодёжи в политической, социально-экономической, научной, спортивной и культурной жизни общества, так и на </w:t>
      </w:r>
      <w:r w:rsidRPr="00384F8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решение задач по укреплению и развитию профсоюзного движения:</w:t>
      </w:r>
      <w:r w:rsidRPr="00384F8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защиту прав и законных интересов молодёжи в сфере труда, образования, вовлечение всё большего количества молодых людей в профсоюзные ряды, развитие их профсоюзной активности, успешную адаптацию к трудовой деятельности.</w:t>
      </w:r>
    </w:p>
    <w:p w:rsidR="007C1E1C" w:rsidRPr="00384F87" w:rsidRDefault="008C5722" w:rsidP="00384F87">
      <w:pPr>
        <w:spacing w:after="0" w:line="240" w:lineRule="auto"/>
        <w:ind w:firstLineChars="300" w:firstLine="8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>Союз «Федерация организаций профсоюзов Курской области»</w:t>
      </w:r>
      <w:r w:rsidR="007C1E1C"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ФОПКО)</w:t>
      </w:r>
      <w:r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>, как членская организация ФНПР,  проводит системную работу по вовлечению молодежи в профсоюзы и приобщению ее к активной профсоюзной деятел</w:t>
      </w:r>
      <w:r w:rsidR="007C1E1C"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ьности. </w:t>
      </w:r>
      <w:r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C67E1" w:rsidRPr="00384F87" w:rsidRDefault="008C5722" w:rsidP="00384F87">
      <w:pPr>
        <w:spacing w:after="0" w:line="240" w:lineRule="auto"/>
        <w:ind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с молодежью </w:t>
      </w:r>
      <w:r w:rsidRPr="00384F87">
        <w:rPr>
          <w:rFonts w:ascii="Times New Roman" w:eastAsia="SimSun" w:hAnsi="Times New Roman" w:cs="Times New Roman"/>
          <w:sz w:val="28"/>
          <w:szCs w:val="28"/>
        </w:rPr>
        <w:t>имеет важное стратегическое значение и является основой для формирования команды молодых перспективных профсоюзных активистов -  кадрового резерва профсоюзов. Молодежь профсоюзных организаций активно участвует в коллективных действиях и акциях солидарности, разработке нормативных актов в области молодежной политики, проведении экспертизы и внесении изменений в трудовое законодательство, вносит предложения по включению дополнительных обязательств в локально-нормативные документы социального партнерства на всех уровнях.</w:t>
      </w:r>
    </w:p>
    <w:p w:rsidR="009C67E1" w:rsidRPr="00384F87" w:rsidRDefault="008C5722" w:rsidP="00384F87">
      <w:pPr>
        <w:spacing w:line="240" w:lineRule="auto"/>
        <w:ind w:firstLineChars="300" w:firstLine="8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</w:t>
      </w:r>
      <w:proofErr w:type="gramStart"/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вышеизложенное</w:t>
      </w:r>
      <w:proofErr w:type="gramEnd"/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 Концепцией ФНПР, </w:t>
      </w:r>
      <w:r w:rsidRPr="00384F8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Союза «Федерация организаций профсоюзов Курской области </w:t>
      </w:r>
      <w:r w:rsidRPr="00384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C67E1" w:rsidRPr="00384F87" w:rsidRDefault="008C5722" w:rsidP="0096352D">
      <w:pPr>
        <w:pStyle w:val="a9"/>
        <w:numPr>
          <w:ilvl w:val="0"/>
          <w:numId w:val="1"/>
        </w:num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Концепцию молодежной политики Союза «Федерация организаций профсоюзов Курской области» (Приложение № 1).</w:t>
      </w:r>
    </w:p>
    <w:p w:rsidR="009C67E1" w:rsidRPr="00384F87" w:rsidRDefault="008C5722" w:rsidP="009635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96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Членским организациям, Координационным советам организаций профсоюзов в муниципальных образованиях, </w:t>
      </w:r>
      <w:r w:rsidR="007C1E1C"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84F87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тделу развития профсоюзного движения, солидарных действий, молодежной политики и международного сотрудничества аппарата ФОПКО, Молодёжному совету ФОПКО руководствоваться положениями Концепции молодежной политики  ФОПКО при организации работы с молодежью.</w:t>
      </w:r>
    </w:p>
    <w:p w:rsidR="009C67E1" w:rsidRPr="00384F87" w:rsidRDefault="008C5722" w:rsidP="009635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F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F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F8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Т.И. </w:t>
      </w:r>
      <w:proofErr w:type="spellStart"/>
      <w:r w:rsidRPr="00384F87">
        <w:rPr>
          <w:rFonts w:ascii="Times New Roman" w:hAnsi="Times New Roman" w:cs="Times New Roman"/>
          <w:sz w:val="28"/>
          <w:szCs w:val="28"/>
        </w:rPr>
        <w:t>Донейко</w:t>
      </w:r>
      <w:proofErr w:type="spellEnd"/>
      <w:r w:rsidRPr="00384F87">
        <w:rPr>
          <w:rFonts w:ascii="Times New Roman" w:hAnsi="Times New Roman" w:cs="Times New Roman"/>
          <w:sz w:val="28"/>
          <w:szCs w:val="28"/>
        </w:rPr>
        <w:t>.</w:t>
      </w:r>
    </w:p>
    <w:p w:rsidR="00E22E9A" w:rsidRPr="00384F87" w:rsidRDefault="00E22E9A" w:rsidP="009838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380" w:rsidRDefault="008C5722" w:rsidP="00983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4F87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192380" w:rsidRDefault="00192380" w:rsidP="00983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67E1" w:rsidRPr="00384F87" w:rsidRDefault="008C5722" w:rsidP="0019238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84F87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А.И. Лазарев</w:t>
      </w:r>
    </w:p>
    <w:p w:rsidR="00384F87" w:rsidRDefault="00384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67E1" w:rsidRPr="00983827" w:rsidRDefault="008C5722" w:rsidP="00983827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27">
        <w:rPr>
          <w:rFonts w:ascii="Times New Roman" w:hAnsi="Times New Roman" w:cs="Times New Roman"/>
          <w:b/>
          <w:sz w:val="28"/>
          <w:szCs w:val="28"/>
        </w:rPr>
        <w:lastRenderedPageBreak/>
        <w:t>Концепция молодежной политики</w:t>
      </w:r>
    </w:p>
    <w:p w:rsidR="009C67E1" w:rsidRPr="00983827" w:rsidRDefault="008C5722" w:rsidP="00983827">
      <w:pPr>
        <w:tabs>
          <w:tab w:val="left" w:pos="3885"/>
        </w:tabs>
        <w:spacing w:after="0" w:line="240" w:lineRule="auto"/>
        <w:ind w:firstLineChars="300" w:firstLine="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27">
        <w:rPr>
          <w:rFonts w:ascii="Times New Roman" w:hAnsi="Times New Roman" w:cs="Times New Roman"/>
          <w:b/>
          <w:sz w:val="28"/>
          <w:szCs w:val="28"/>
        </w:rPr>
        <w:t>Союза «Федерация организаций профсоюзов Курской области»</w:t>
      </w:r>
    </w:p>
    <w:p w:rsidR="009C67E1" w:rsidRPr="00983827" w:rsidRDefault="009C67E1" w:rsidP="00983827">
      <w:pPr>
        <w:tabs>
          <w:tab w:val="left" w:pos="3885"/>
        </w:tabs>
        <w:spacing w:after="0" w:line="240" w:lineRule="auto"/>
        <w:ind w:firstLineChars="300" w:firstLine="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E1" w:rsidRPr="00983827" w:rsidRDefault="008C5722" w:rsidP="00983827">
      <w:pPr>
        <w:numPr>
          <w:ilvl w:val="0"/>
          <w:numId w:val="2"/>
        </w:numPr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proofErr w:type="spellStart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Общие</w:t>
      </w:r>
      <w:proofErr w:type="spellEnd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по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ложения</w:t>
      </w:r>
      <w:proofErr w:type="spellEnd"/>
    </w:p>
    <w:p w:rsidR="009C67E1" w:rsidRPr="00983827" w:rsidRDefault="008C5722" w:rsidP="00983827">
      <w:pPr>
        <w:spacing w:after="0" w:line="240" w:lineRule="auto"/>
        <w:ind w:firstLineChars="300" w:firstLine="8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Концепция молодежной политики Союза «Федерация организаций профсоюзов Курской области» (далее – Концепция ФОПКО) разработана в соответствии с Федеральным законом от 30.12.2020 № 489-ФЗ "О молодежной политике в Российской Федерации", другими федеральными законами, нормативными правовыми актами Российской Федерации, содержащими нормы, регулирующие отношения в сфере реализации прав молодежи, Концепцией Молодежной политики ФНПР (приложение № 1 к постановлению Генерального Совета ФНПР от 14.04.2021 № 9-11), Резолюцией </w:t>
      </w: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XII</w:t>
      </w:r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Съезда ФНПР «Молодежная политика».</w:t>
      </w:r>
    </w:p>
    <w:p w:rsidR="009C67E1" w:rsidRDefault="008C5722" w:rsidP="00983827">
      <w:pPr>
        <w:spacing w:after="0" w:line="240" w:lineRule="auto"/>
        <w:ind w:firstLineChars="300" w:firstLine="8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Концепция определяет цели, принципы, основные направления и формы реализации молодёжной политики.</w:t>
      </w:r>
    </w:p>
    <w:p w:rsidR="00E22E9A" w:rsidRPr="00983827" w:rsidRDefault="00E22E9A" w:rsidP="00983827">
      <w:pPr>
        <w:spacing w:after="0"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9C67E1" w:rsidRPr="00983827" w:rsidRDefault="008C5722" w:rsidP="00983827">
      <w:pPr>
        <w:numPr>
          <w:ilvl w:val="0"/>
          <w:numId w:val="2"/>
        </w:numPr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</w:pPr>
      <w:proofErr w:type="spellStart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Основные</w:t>
      </w:r>
      <w:proofErr w:type="spellEnd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понятия</w:t>
      </w:r>
      <w:proofErr w:type="spellEnd"/>
    </w:p>
    <w:p w:rsidR="009C67E1" w:rsidRPr="00983827" w:rsidRDefault="008C5722" w:rsidP="0098382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Молодёжь – социально-демографическая группа лиц в возрасте от 14 до 35 лет включительно.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2) Профсоюзная молодёжь – социально-демографическая группа лиц, являющихся членами профсоюза в возрасте от 14 до 35 лет включительно.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3) Молодёжная политика ФОПКО – комплекс мер нормативно-правового, финансово-экономического, организационно-управленческого, информационно-аналитического, кадрового, научного и иного характера, реализуемых на основе взаимодействия ФНПР, её членских организаций, органов государственной власти, институтов гражданского общества, иных юридических лиц независимо от их организационно-правовых форм и профсоюзного членства, направленный на создание условий для развития молодёжи, её самореализации в рамках профсоюзного движения в целях достижения его устойчивого развития. </w:t>
      </w:r>
      <w:proofErr w:type="gramEnd"/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4) Специалист по работе с молодежью – штатный профсоюзный работник, имеющий соответствующую квалификацию, осуществляющий трудовую деятельность по реализации молодёжной политики в профсоюзной организации, входящей в организационную структуру ФНПР.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5) Субъекты, осуществляющие деятельность в сфере молодёжной политики ФОПКО, – молодые члены профсоюзов, молодёжные советы и комиссии всех уровней, выборные органы ФОПКО и её членских организаций, а также их структурные подразделения и подведомственные учреждения. </w:t>
      </w:r>
    </w:p>
    <w:p w:rsidR="00E22E9A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6) Самореализация молодёжи в профсоюзах – применение молодыми членами профсоюзов имеющихся у них способностей и приобретенных ими знаний, умений, навыков, компетенций и опыта в целях удовлетворения их </w:t>
      </w: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потребностей в профессиональном, социальном и личном развитии через участие в развитии профсоюзного движения. </w:t>
      </w:r>
    </w:p>
    <w:p w:rsidR="009C67E1" w:rsidRPr="00E22E9A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7) Молодёжный совет (комиссия) – общественное формирование, созданное выборным профсоюзным органом из числа молодых членов профсоюзов для реализации целей, задач и продвижения принципов молодёжной политики ФОПКО. </w:t>
      </w:r>
    </w:p>
    <w:p w:rsidR="009C67E1" w:rsidRPr="00983827" w:rsidRDefault="008C5722" w:rsidP="00983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III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. Цели и основные задачи молодёжной политики </w:t>
      </w:r>
    </w:p>
    <w:p w:rsidR="009C67E1" w:rsidRPr="00983827" w:rsidRDefault="008C5722" w:rsidP="00983827">
      <w:pPr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Целью молодёжной политики ФОПКО является развитие профсоюзного движения, основанное на вступлении молодёжи в члены профсоюзов, мотивации членства среди молодёжи, защите их социально-экономических прав и интересов и вовлечении молодёжи в активную профсоюзную работу на всех уровнях профсоюзной структуры. </w:t>
      </w:r>
    </w:p>
    <w:p w:rsidR="009C67E1" w:rsidRPr="00983827" w:rsidRDefault="008C5722" w:rsidP="00983827">
      <w:pPr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Для достижения данной цели необходимо решить следующие задачи: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1. Координация деятельности ФОПКО и её членских организаций по защите социально-экономических и трудовых интересов молодежи, содействие расширению законодательных гарантий её прав на учебу, труд, жилье, участие в решении производственных задач, достойный доход, полноценный отдых и досуг.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 Создание условий для вступления и последующей самореализации молодёжи внутри профсоюзного движения.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 Формирование, подготовка и продвижение кадрового резерва из числа молодых профсоюзных активистов на всех уровнях профсоюзной структуры.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4. Повышение уровня информированности молодёжи об их социально - трудовых правах и деятельности профсоюза, усиление агитационной, пропагандистской и информационной работы в молодёжной среде. </w:t>
      </w:r>
    </w:p>
    <w:p w:rsidR="009C67E1" w:rsidRPr="00983827" w:rsidRDefault="008C5722" w:rsidP="00983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IV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. Основные принципы реализации молодёжной политики </w:t>
      </w:r>
    </w:p>
    <w:p w:rsidR="009C67E1" w:rsidRPr="00983827" w:rsidRDefault="008C5722" w:rsidP="00983827">
      <w:pPr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Молодёжная политика ФОПКО осуществляется в соответствии со следующими принципами: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1. учета интересов и потребностей различных социальных групп молодёжи;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 участия профсоюзной молодёжи в разработке и реализации приоритетных направлений молодёжной политики и профсоюзной работы в целом;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 информационной открытости;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4. социального партнёрства;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 социальной солидарности и социальной ответственности профсоюзной молодёжи;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6. сотрудничества с другими общественными организациями;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 комплексного подхода при формировании и реализации молодёжной политики;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8. обязательности взаимодействия всех уровней профсоюзной структуры ФОПКО при реализации молодёжной политики;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9. финансирования в объеме не менее 5% от профсоюзного бюджета на всех уровнях реализации;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10. независимой оценки результатов деятельности профсоюзной молодежи;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11. поддержки инициатив профсоюзной молодежи, перспективных для развития профсоюзного движения;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12. участия профсоюзной молодёжи в борьбе профсоюзов за права трудящихся. </w:t>
      </w:r>
    </w:p>
    <w:p w:rsidR="009C67E1" w:rsidRPr="00983827" w:rsidRDefault="008C5722" w:rsidP="00983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V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. Приоритетные направления молодёжной политики </w:t>
      </w:r>
    </w:p>
    <w:p w:rsidR="009C67E1" w:rsidRPr="00983827" w:rsidRDefault="008C5722" w:rsidP="00983827">
      <w:pPr>
        <w:spacing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Концепция в соответствии с целями, задачами и принципами молодёжной политики ФОПКО определяет её приоритетные направления, которые соответствуют программным задачам: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1. Формирование у молодёжи ответственной гражданской позиции, патриотизма.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 Формирование у молодежи ценностных ориентаций: достоинства работающего человека, честного отношения к труду и коллективу, солидарности, ответственности, чувства гордости за свою профессию и принадлежность к профсоюзному движению: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2.1. Повышение престижа профсоюзного членства, в том числе через акции солидарности и коллективные действия, </w:t>
      </w: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PR</w:t>
      </w: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-акции, социальную рекламу, формирующие позитивное отношение к профсоюзам как организации, защищающей права и интересы работников и обучающихся.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2.2. Содействие занятости молодёжи, гарантированному получению первого рабочего места выпускниками образовательных организаций, помощь молодым работникам в адаптации к трудовой деятельности, в том числе через внедрение и расширение практики наставничества,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проведение конкурсов профессионального мастерства, конкурсов лучших наставников, участие профсоюзных организаций в разработке программ профессионального развития и получения дополнительных компетенций молодыми работниками, непосредственное взаимодействие профсоюзных организаций, действующих в учебных заведениях и на предприятиях, по вопросам трудоустройства и адаптации. </w:t>
      </w:r>
    </w:p>
    <w:p w:rsidR="009C67E1" w:rsidRPr="00983827" w:rsidRDefault="008C5722" w:rsidP="00983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3. Вовлечение молодёжи в профсоюзы и развитие её активности в вопросах защиты социально-трудовых прав работников: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3.1. Проведение агитационной, пропагандистской, разъяснительной работы в молодёжной среде об истории профсоюзов, их целях, практике защиты трудовых прав работников, проведение встреч с ветеранами профсоюзного движения.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3.2. Выявление проблем, с которыми сталкиваются молодые работники на рабочем месте, и поиск способов их разрешения при участии профсоюзов.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3.3. Проведение встреч с работающей молодёжью, не состоящей в профсоюзах, с целью демонстрации эффективности профсоюзного членства, действий профсоюзов по решению проблем молодёжи.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4. Формирование системы профсоюзного образования молодежи, внедрение инновационных образовательных технологий: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4.1. Разработка и внедрение совместно с образовательными учреждениями профсоюзов практико-ориентированных образовательных программ для молодых профсоюзных активистов по актуальным проблемам профсоюзной работы.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4.2. Обеспечение доступности качественного профсоюзного образования для молодёжи, в том числе с использованием дистанционных образовательных технологий.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 Содействие наиболее полной реализации интеллектуального потенциала молодёжи в кадровой политике профсоюзов: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5.1. Выявление активных молодых членов профсоюзов, проявляющих интерес к профсоюзной работе, включение их в составы молодежных советов (комиссий), выдвижение их в выборные профсоюзные органы, формирование и поддержание в актуальном состоянии базы данных профсоюзных активистов.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5.2. Формирование кадрового резерва профсоюзов с привлечением  молодых профсоюзных активистов, их целенаправленная подготовка.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5.3. Увеличение представительства молодежи в выборных профсоюзных органах всех уровней профсоюзной структуры.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6. Расширение информационного поля, благоприятного для повышения профсоюзной активности молодёжи: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6.1. Развитие и активное использование профсоюзных средств массовой информации.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6.2. Использование возможностей средств массовой информации для рекламы и освещения результатов профсоюзных мероприятий.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6.3. Организация площадок для обмена опытом работы по реализации молодёжной политики профсоюзов, молодёжных профсоюзных слетов, конкурсов, научно-практических конференций.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6.4. Распространение информации о положительном опыте работы профсоюзных организаций по взаимодействию с институтами гражданского общества, органами законодательной и исполнительной власти, органами местного самоуправления.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6.5. Адаптация бизнес-инструментов и инструментов интерне</w:t>
      </w: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т-</w:t>
      </w:r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маркетинга для использования в профсоюзной деятельности.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6.6. Работа по продвижению профсоюзной идеологии и освещению деятельности профсоюзов в СМИ, включая Интернет (социальные сети, официальные сайты профсоюзных организаций).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 Формирование позитивного имиджа профсоюзов в молодежной среде: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7.1. Вовлечение в профсоюзную работу </w:t>
      </w: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обучающихся</w:t>
      </w:r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Проведение на первых и выпускных курсах во всех образовательных учреждениях среднего и высшего профессионального образования единых профсоюзных уроков о социальной значимости и роли профсоюзов в современных условиях.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7.2. Развитие правовой и финансовой грамотности у учащейся и работающей молодёжи.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7.3. Проведение в школах внеклассных мероприятий для знакомства с деятельностью профсоюзов.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7.4. Формирование конкурентных профсоюзных молодежных команд по различным направлениям и интересам молодежи, участие команд в соревнованиях и конкурсах.</w:t>
      </w:r>
    </w:p>
    <w:p w:rsidR="009C67E1" w:rsidRPr="00983827" w:rsidRDefault="008C5722" w:rsidP="00983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7.5. Популяризация успешных практик работы профсоюзных структур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по представлению интересов, защите социально-трудовых прав и другим основным направлениям их деятельности.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7.6. Привлечение членов молодёжных советов (комиссий) к решению социально-политических вопросов, касающихся молодёжи.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8. Взаимодействие с институтами гражданского общества, молодёжными общественными объединениями и организациями, государственными структурами в сфере молодёжной политики: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8.1. Организация взаимодействия с субъектами различного уровня, осуществляющими деятельность в сфере молодёжной политики, в целях координации совместных действий по реализации государственной молодёжной политики.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8.2. Взаимодействие с органами государственной власти и местного самоуправления по вопросам совершенствования работы с молодёжью, представительство молодых профсоюзных активистов в молодёжных формированиях (правительствах, парламентах, общественных палатах и т.д.), участие в выработке управленческих решений, затрагивающих интересы молодёжи.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9. Развитие  межрегионального и международного молодёжного сотрудничества: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9.1. Поддержка участия  молодежи и молодежных объединений е в работе международных форумов, конференций и фестивалей.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9.2. Содействие в реализации программ двусторонних молодежных обменов, а также развитие сотрудничества с молодежными организациями соотечественников, проживающих за рубежом. </w:t>
      </w:r>
    </w:p>
    <w:p w:rsidR="009C67E1" w:rsidRPr="00983827" w:rsidRDefault="008C5722" w:rsidP="00983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VI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. Ресурсы реализации молодёжной политики ФОПКО</w:t>
      </w:r>
    </w:p>
    <w:p w:rsidR="009C67E1" w:rsidRPr="00D129E9" w:rsidRDefault="008C5722" w:rsidP="00D129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Для реализации поставленных задач и организации работы по приоритетным направлениям Концепции требуются нормативное правовое, информационное, финансовое обеспечение, внедрение современных практик</w:t>
      </w: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о-</w:t>
      </w:r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ориентированных методов работы, разработка целевых программ и проектов, участие в конкурсах на получение грантов, развитие социального партнёрства на всех уровнях. Работа по реализации Концепции осуществляется во взаимодействии ФОПКО, членских организаций ФОПКО и их молодёжных советов, представителей институтов гражданского общества, других молодёжных организаций, органов государственной власти, работодателей и научной общественности. Работа по реализации Концепции требует серьёзного кадрового обеспечения. Специалисты по работе с молодежью членских организаций ФОПКО (лица, ответственные в профсоюзных организациях за работу </w:t>
      </w:r>
      <w:bookmarkStart w:id="0" w:name="_GoBack"/>
      <w:bookmarkEnd w:id="0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 молодежью), должны регулярно повышать квалификацию в образовательных учреждениях различного уровня. </w:t>
      </w:r>
    </w:p>
    <w:p w:rsidR="009C67E1" w:rsidRPr="00983827" w:rsidRDefault="008C5722" w:rsidP="009838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 w:bidi="ar"/>
        </w:rPr>
        <w:t>VII</w:t>
      </w:r>
      <w:r w:rsidRPr="0098382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. Результаты и показатели оценки эффективности</w:t>
      </w:r>
    </w:p>
    <w:p w:rsidR="009C67E1" w:rsidRPr="00983827" w:rsidRDefault="008C5722" w:rsidP="009838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Результатом успешной реализации Концепции является рост общественной и социально-экономической активности молодых членов профсоюзов, расширение сети молодёжных советов (комиссий) и повышение результативности их работы. Эффективность молодёжной политики ФОПКО может быть оценена по следующим показателям в работе организаций профсоюзов: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положительная динамика численности молодёжи от 14 до 35 лет включительно в структуре профсоюзного членства;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- положительная динамика численности профсоюзного актива и кадров (штатные и выборные должности), выбранных и назначенных из числа молодёжного кадрового резерва;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увеличение числа профсоюзной молодёжи, прошедшей профсоюзное обучение и принявшей участие в профсоюзных форумах, тренингах, семинарах, мастер-классах;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увеличение количества реализованных молодежных проектов в членских организациях;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увеличение количества льгот и гарантий, специфичных для молодёжи, в коллективных договорах и соглашениях всех уровней;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динамика участия профсоюзной молодежи в </w:t>
      </w:r>
      <w:proofErr w:type="spell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прпрофсоюзных</w:t>
      </w:r>
      <w:proofErr w:type="spell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отчетн</w:t>
      </w:r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о-</w:t>
      </w:r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выборных кампаниях всех уровней; </w:t>
      </w:r>
    </w:p>
    <w:p w:rsidR="009C67E1" w:rsidRPr="00983827" w:rsidRDefault="008C5722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- </w:t>
      </w:r>
      <w:proofErr w:type="spellStart"/>
      <w:proofErr w:type="gram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динамика</w:t>
      </w:r>
      <w:proofErr w:type="spellEnd"/>
      <w:proofErr w:type="gram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омоложения</w:t>
      </w:r>
      <w:proofErr w:type="spell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профсоюзных</w:t>
      </w:r>
      <w:proofErr w:type="spell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кадро</w:t>
      </w:r>
      <w:proofErr w:type="spellEnd"/>
      <w:r w:rsidRPr="009838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в.</w:t>
      </w:r>
    </w:p>
    <w:p w:rsidR="009C67E1" w:rsidRPr="00983827" w:rsidRDefault="009C67E1" w:rsidP="00983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E1" w:rsidRDefault="009C67E1">
      <w:pPr>
        <w:tabs>
          <w:tab w:val="left" w:pos="3885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9C67E1" w:rsidSect="004F02F0">
      <w:footerReference w:type="default" r:id="rId9"/>
      <w:footnotePr>
        <w:pos w:val="beneathText"/>
      </w:footnotePr>
      <w:pgSz w:w="11905" w:h="16837"/>
      <w:pgMar w:top="993" w:right="990" w:bottom="55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F6" w:rsidRDefault="000115F6">
      <w:pPr>
        <w:spacing w:line="240" w:lineRule="auto"/>
      </w:pPr>
      <w:r>
        <w:separator/>
      </w:r>
    </w:p>
  </w:endnote>
  <w:endnote w:type="continuationSeparator" w:id="0">
    <w:p w:rsidR="000115F6" w:rsidRDefault="00011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E1" w:rsidRDefault="008C572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129E9">
      <w:rPr>
        <w:noProof/>
      </w:rPr>
      <w:t>8</w:t>
    </w:r>
    <w:r>
      <w:fldChar w:fldCharType="end"/>
    </w:r>
  </w:p>
  <w:p w:rsidR="009C67E1" w:rsidRDefault="009C67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F6" w:rsidRDefault="000115F6">
      <w:pPr>
        <w:spacing w:after="0"/>
      </w:pPr>
      <w:r>
        <w:separator/>
      </w:r>
    </w:p>
  </w:footnote>
  <w:footnote w:type="continuationSeparator" w:id="0">
    <w:p w:rsidR="000115F6" w:rsidRDefault="000115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56E3C"/>
    <w:multiLevelType w:val="singleLevel"/>
    <w:tmpl w:val="8CE56E3C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2D72FB"/>
    <w:multiLevelType w:val="singleLevel"/>
    <w:tmpl w:val="392D72FB"/>
    <w:lvl w:ilvl="0">
      <w:start w:val="1"/>
      <w:numFmt w:val="upperRoman"/>
      <w:suff w:val="space"/>
      <w:lvlText w:val="%1."/>
      <w:lvlJc w:val="left"/>
    </w:lvl>
  </w:abstractNum>
  <w:abstractNum w:abstractNumId="3">
    <w:nsid w:val="52D894D7"/>
    <w:multiLevelType w:val="singleLevel"/>
    <w:tmpl w:val="52D894D7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66FFF"/>
    <w:rsid w:val="000115F6"/>
    <w:rsid w:val="00023132"/>
    <w:rsid w:val="00026E19"/>
    <w:rsid w:val="00035D5D"/>
    <w:rsid w:val="00044EBA"/>
    <w:rsid w:val="00055E53"/>
    <w:rsid w:val="00066FFF"/>
    <w:rsid w:val="00067363"/>
    <w:rsid w:val="000678F2"/>
    <w:rsid w:val="000877FE"/>
    <w:rsid w:val="000A0AB4"/>
    <w:rsid w:val="000D62C0"/>
    <w:rsid w:val="000E4A75"/>
    <w:rsid w:val="0011352F"/>
    <w:rsid w:val="00143A6B"/>
    <w:rsid w:val="00143D23"/>
    <w:rsid w:val="0017082B"/>
    <w:rsid w:val="00192380"/>
    <w:rsid w:val="001951DD"/>
    <w:rsid w:val="001B6F27"/>
    <w:rsid w:val="001B73F1"/>
    <w:rsid w:val="001C59E5"/>
    <w:rsid w:val="0020784D"/>
    <w:rsid w:val="00231FC6"/>
    <w:rsid w:val="00256DB1"/>
    <w:rsid w:val="0025735E"/>
    <w:rsid w:val="0025747D"/>
    <w:rsid w:val="00266BAD"/>
    <w:rsid w:val="00271A7D"/>
    <w:rsid w:val="00281D4D"/>
    <w:rsid w:val="002A1798"/>
    <w:rsid w:val="002B1C44"/>
    <w:rsid w:val="002B242D"/>
    <w:rsid w:val="002F3BF9"/>
    <w:rsid w:val="002F7B20"/>
    <w:rsid w:val="0038114A"/>
    <w:rsid w:val="003824E2"/>
    <w:rsid w:val="00384848"/>
    <w:rsid w:val="00384F87"/>
    <w:rsid w:val="00402139"/>
    <w:rsid w:val="00402443"/>
    <w:rsid w:val="0041437E"/>
    <w:rsid w:val="00414EC3"/>
    <w:rsid w:val="00433F6F"/>
    <w:rsid w:val="00466B07"/>
    <w:rsid w:val="00472E66"/>
    <w:rsid w:val="00486661"/>
    <w:rsid w:val="004B6599"/>
    <w:rsid w:val="004F02F0"/>
    <w:rsid w:val="0054021B"/>
    <w:rsid w:val="00547A43"/>
    <w:rsid w:val="00553CA9"/>
    <w:rsid w:val="00584AD3"/>
    <w:rsid w:val="00595052"/>
    <w:rsid w:val="00595243"/>
    <w:rsid w:val="005B18B6"/>
    <w:rsid w:val="005E1518"/>
    <w:rsid w:val="005E413D"/>
    <w:rsid w:val="00641320"/>
    <w:rsid w:val="0067235D"/>
    <w:rsid w:val="007051E4"/>
    <w:rsid w:val="00740648"/>
    <w:rsid w:val="00746912"/>
    <w:rsid w:val="007711E6"/>
    <w:rsid w:val="0077483B"/>
    <w:rsid w:val="00796D5E"/>
    <w:rsid w:val="007C1E1C"/>
    <w:rsid w:val="007E4F82"/>
    <w:rsid w:val="00860731"/>
    <w:rsid w:val="00880BDC"/>
    <w:rsid w:val="008C10B8"/>
    <w:rsid w:val="008C5722"/>
    <w:rsid w:val="008E3D21"/>
    <w:rsid w:val="009238DD"/>
    <w:rsid w:val="00930DAB"/>
    <w:rsid w:val="00933754"/>
    <w:rsid w:val="0096352D"/>
    <w:rsid w:val="00983827"/>
    <w:rsid w:val="009C67E1"/>
    <w:rsid w:val="009C7790"/>
    <w:rsid w:val="009F639C"/>
    <w:rsid w:val="00A30B4E"/>
    <w:rsid w:val="00A45379"/>
    <w:rsid w:val="00B14C2C"/>
    <w:rsid w:val="00B2632D"/>
    <w:rsid w:val="00B340B2"/>
    <w:rsid w:val="00B83FF8"/>
    <w:rsid w:val="00BB2022"/>
    <w:rsid w:val="00BC7394"/>
    <w:rsid w:val="00BE3273"/>
    <w:rsid w:val="00C06BE3"/>
    <w:rsid w:val="00C35617"/>
    <w:rsid w:val="00C506F1"/>
    <w:rsid w:val="00C52E71"/>
    <w:rsid w:val="00C57A24"/>
    <w:rsid w:val="00C6500D"/>
    <w:rsid w:val="00CC63FE"/>
    <w:rsid w:val="00D129E9"/>
    <w:rsid w:val="00D941C1"/>
    <w:rsid w:val="00D94883"/>
    <w:rsid w:val="00E22E9A"/>
    <w:rsid w:val="00E36299"/>
    <w:rsid w:val="00E37895"/>
    <w:rsid w:val="00EF13B4"/>
    <w:rsid w:val="00EF4E73"/>
    <w:rsid w:val="00F0196F"/>
    <w:rsid w:val="00F17E34"/>
    <w:rsid w:val="00F22A3E"/>
    <w:rsid w:val="00F61018"/>
    <w:rsid w:val="00F81E1E"/>
    <w:rsid w:val="00FF0E02"/>
    <w:rsid w:val="07C90D1A"/>
    <w:rsid w:val="0A1D7C96"/>
    <w:rsid w:val="0CC022B6"/>
    <w:rsid w:val="11BA727D"/>
    <w:rsid w:val="34D8725A"/>
    <w:rsid w:val="36EA0D7B"/>
    <w:rsid w:val="3B3B68F4"/>
    <w:rsid w:val="47A66F65"/>
    <w:rsid w:val="57E64D02"/>
    <w:rsid w:val="582B7F48"/>
    <w:rsid w:val="5C4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qFormat/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qFormat/>
    <w:rPr>
      <w:rFonts w:ascii="Arial Narrow" w:eastAsia="Times New Roman" w:hAnsi="Arial Narrow" w:cs="Times New Roman"/>
      <w:sz w:val="32"/>
      <w:szCs w:val="20"/>
    </w:rPr>
  </w:style>
  <w:style w:type="paragraph" w:customStyle="1" w:styleId="Style7">
    <w:name w:val="_Style 7"/>
    <w:basedOn w:val="a"/>
    <w:next w:val="a5"/>
    <w:qFormat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s1">
    <w:name w:val="s1"/>
    <w:qFormat/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0E4F-1E70-40F8-803C-E11D7672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2026-03-17T04:48:00Z</cp:lastPrinted>
  <dcterms:created xsi:type="dcterms:W3CDTF">2023-03-14T08:56:00Z</dcterms:created>
  <dcterms:modified xsi:type="dcterms:W3CDTF">2026-03-27T07:24:00Z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EDE67AE586B744A08DD27CF961BB6CC1_12</vt:lpwstr>
  </property>
</Properties>
</file>